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rPr>
        <w:t>附件</w:t>
      </w:r>
      <w:r>
        <w:rPr>
          <w:rFonts w:hint="eastAsia" w:ascii="方正黑体_GBK" w:hAnsi="方正黑体_GBK" w:eastAsia="方正黑体_GBK" w:cs="方正黑体_GBK"/>
          <w:sz w:val="32"/>
          <w:szCs w:val="32"/>
          <w:lang w:val="en-US" w:eastAsia="zh-CN"/>
        </w:rPr>
        <w:t>3</w:t>
      </w:r>
    </w:p>
    <w:p>
      <w:pPr>
        <w:spacing w:line="600" w:lineRule="exact"/>
        <w:rPr>
          <w:rFonts w:hint="eastAsia" w:ascii="方正黑体_GBK" w:hAnsi="方正黑体_GBK" w:eastAsia="方正黑体_GBK" w:cs="方正黑体_GBK"/>
          <w:sz w:val="32"/>
          <w:szCs w:val="32"/>
        </w:rPr>
      </w:pPr>
    </w:p>
    <w:p>
      <w:pPr>
        <w:spacing w:line="500" w:lineRule="exact"/>
        <w:jc w:val="center"/>
        <w:rPr>
          <w:rFonts w:ascii="方正小标宋_GBK" w:hAnsi="仿宋" w:eastAsia="方正小标宋_GBK"/>
          <w:sz w:val="44"/>
          <w:szCs w:val="44"/>
        </w:rPr>
      </w:pPr>
      <w:r>
        <w:rPr>
          <w:rFonts w:hint="eastAsia" w:ascii="方正小标宋_GBK" w:hAnsi="仿宋" w:eastAsia="方正小标宋_GBK"/>
          <w:sz w:val="44"/>
          <w:szCs w:val="44"/>
        </w:rPr>
        <w:t>云南省中等职业学校专业课、实习指导教师</w:t>
      </w:r>
    </w:p>
    <w:p>
      <w:pPr>
        <w:spacing w:line="500" w:lineRule="exact"/>
        <w:jc w:val="center"/>
        <w:rPr>
          <w:rFonts w:hint="eastAsia" w:ascii="方正小标宋_GBK" w:hAnsi="仿宋" w:eastAsia="方正小标宋_GBK"/>
          <w:sz w:val="44"/>
          <w:szCs w:val="44"/>
        </w:rPr>
      </w:pPr>
      <w:r>
        <w:rPr>
          <w:rFonts w:hint="eastAsia" w:ascii="方正小标宋_GBK" w:hAnsi="仿宋" w:eastAsia="方正小标宋_GBK"/>
          <w:sz w:val="44"/>
          <w:szCs w:val="44"/>
        </w:rPr>
        <w:t>资格考试面试大纲</w:t>
      </w:r>
    </w:p>
    <w:p>
      <w:pPr>
        <w:adjustRightInd w:val="0"/>
        <w:snapToGrid w:val="0"/>
        <w:spacing w:line="600" w:lineRule="exact"/>
        <w:rPr>
          <w:rFonts w:ascii="仿宋_GB2312" w:hAnsi="仿宋" w:eastAsia="仿宋_GB2312"/>
          <w:sz w:val="32"/>
          <w:szCs w:val="32"/>
        </w:rPr>
      </w:pPr>
    </w:p>
    <w:p>
      <w:pPr>
        <w:adjustRightInd w:val="0"/>
        <w:snapToGrid w:val="0"/>
        <w:spacing w:line="600" w:lineRule="exact"/>
        <w:ind w:firstLine="640" w:firstLineChars="200"/>
        <w:rPr>
          <w:rFonts w:ascii="黑体" w:hAnsi="黑体" w:eastAsia="黑体"/>
          <w:sz w:val="32"/>
          <w:szCs w:val="32"/>
        </w:rPr>
      </w:pPr>
      <w:r>
        <w:rPr>
          <w:rFonts w:hint="eastAsia" w:ascii="黑体" w:hAnsi="黑体" w:eastAsia="黑体"/>
          <w:sz w:val="32"/>
          <w:szCs w:val="32"/>
        </w:rPr>
        <w:t>一、测试性质</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面试是中等职业学校专业课教师和实习指导教师资格考试的组成部分，属于标准参照性考试。笔试科目《专业知识与教学能力》的考察结合面试环节进行。 </w:t>
      </w:r>
      <w:bookmarkStart w:id="0" w:name="_GoBack"/>
      <w:bookmarkEnd w:id="0"/>
    </w:p>
    <w:p>
      <w:pPr>
        <w:adjustRightInd w:val="0"/>
        <w:snapToGrid w:val="0"/>
        <w:spacing w:line="600" w:lineRule="exact"/>
        <w:ind w:firstLine="640" w:firstLineChars="200"/>
        <w:rPr>
          <w:rFonts w:ascii="黑体" w:hAnsi="黑体" w:eastAsia="黑体"/>
          <w:sz w:val="32"/>
          <w:szCs w:val="32"/>
        </w:rPr>
      </w:pPr>
      <w:r>
        <w:rPr>
          <w:rFonts w:hint="eastAsia" w:ascii="黑体" w:hAnsi="黑体" w:eastAsia="黑体"/>
          <w:sz w:val="32"/>
          <w:szCs w:val="32"/>
        </w:rPr>
        <w:t xml:space="preserve">二、测试目标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面试主要考察申请中等职业学校专业课教师和实习指导教师资格人员应具备的教师基本素养、职业发展潜质、教育教学能力、专业基础知识和基本技能，主要包括：</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1.良好的职业认知、心理素质和思维品质。</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2.较好的专业基础知识，必需的基本技能。</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3.仪表仪态得体，有一定的表达、交流、沟通能力。</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4.能够恰当地运用教学方法、手段，教学环节规范，较好地达成教学目标。</w:t>
      </w:r>
    </w:p>
    <w:p>
      <w:pPr>
        <w:adjustRightInd w:val="0"/>
        <w:snapToGrid w:val="0"/>
        <w:spacing w:line="600" w:lineRule="exact"/>
        <w:ind w:firstLine="640" w:firstLineChars="200"/>
        <w:rPr>
          <w:rFonts w:ascii="黑体" w:hAnsi="黑体" w:eastAsia="黑体"/>
          <w:sz w:val="32"/>
          <w:szCs w:val="32"/>
        </w:rPr>
      </w:pPr>
      <w:r>
        <w:rPr>
          <w:rFonts w:hint="eastAsia" w:ascii="黑体" w:hAnsi="黑体" w:eastAsia="黑体"/>
          <w:sz w:val="32"/>
          <w:szCs w:val="32"/>
        </w:rPr>
        <w:t xml:space="preserve">三、测试内容与要求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（一）职业认知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1.热爱教育事业，能正确认识、理解中等职业教育专业课教师和实习指导教师的职业特征，遵守教师职业道德规范，能够正确认识、分析和评价教育教学实践中的师德问题。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2.关爱学生、尊重学生，公正平等地对待每一位学生，关注每一位学生的成长。遵循学生身心发展规律，以学生发展为本，培养学生的职业兴趣、学习兴趣和自信心，激发学生的主动性和创造性，发挥学生特长，挖掘学生潜质，为每一个学生提供适合的教育，提高学生的就业能力、创业能力和终身学习的能力，促进学生健康快乐成长，学有所长，全面发展。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（二）心理素质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1.积极、开朗，有自信心。具有积极向上的精神，主动热情工作；具有坚定顽强的精神，不怕困难。</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2.有较强的情绪调节与自控能力。能够有条不紊地工作，不急不躁；能够冷静处理问题，有应变能力；能公正地看待问题，不偏激，不固执。</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（三）仪表仪态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1.仪表整洁，符合教育职业和场景要求。</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2.举止大方，肢体语言得体，符合教师礼仪和教学内容要求。</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（四）言语表达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1.语言清晰，语速适宜，表达准确。口齿清楚，讲话流利，发音标准，声音洪亮，语速适宜；讲话中心明确，层次分明，表达完整，有感染力。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2.善于倾听、交流，有亲和力。具有较强的口头表达能力，善于倾听别人的意见，并能够较准确地表达自己的观点；在交流中尊重对方、态度和蔼。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（五）思维品质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1.能够迅速、准确地理解和分析问题，有较强的综合分析能力。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2.能够清晰有条理地陈述问题，有较强的逻辑性。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3.能够比较全面地看待问题，思维灵活。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4.能够提出具有创新性的解决问题的思路和方法。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（六）教学设计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1.能体现所任专业对应行业的产业和技术发展的现状和趋势，了解教学课程在专业人才培养中的地位、作用。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2.能根据所任专业的基础知识和专业特点，准确把握教学目标、教学内容、教学重点和难点。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3.能体现学生的主体性，教学方法和手段符合中等职业学校学生特点、内容要求和场景要求，因材施教。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（七）教学实施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1.能够有效地组织学生的学习活动，注重激发学生的学习兴趣，有与学生交流的意识。</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2.能够科学准确地表达和呈现教学主题、教学目标、教学内容和教学要求，主题突出，层次分明，板书工整、美观、适量。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3.能合理运用教学设备或实训设备展示操作技能和操作技术规范，有良好的安全意识。</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4.能够较好地控制教学时间和教学节奏，合理运用信息化手段，较好地达成教学目标。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（八）教学评价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1.在教学实施过程中注重对学生进行评价。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2.能客观评价自己的教学效果。 </w:t>
      </w:r>
    </w:p>
    <w:p>
      <w:pPr>
        <w:adjustRightInd w:val="0"/>
        <w:snapToGrid w:val="0"/>
        <w:spacing w:line="600" w:lineRule="exact"/>
        <w:ind w:firstLine="640" w:firstLineChars="200"/>
        <w:rPr>
          <w:rFonts w:ascii="黑体" w:hAnsi="黑体" w:eastAsia="黑体"/>
          <w:sz w:val="32"/>
          <w:szCs w:val="32"/>
        </w:rPr>
      </w:pPr>
      <w:r>
        <w:rPr>
          <w:rFonts w:hint="eastAsia" w:ascii="黑体" w:hAnsi="黑体" w:eastAsia="黑体"/>
          <w:sz w:val="32"/>
          <w:szCs w:val="32"/>
        </w:rPr>
        <w:t xml:space="preserve">四、测试方法与流程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（一）测试方法采取结构化面试和情境模拟相结合的方法，通过抽题、备课、专业概述、试讲(演示)、答辩等方式进行。</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（二）测试流程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1.抽取试题。考生根据自己所报考的专业，自带一本正式出版的本专业中职或以上学校的专业课教材，工作人员在教材中随机抽取章节作为考试题目。</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抽题方法：第一步，抽题室工作人员对教材进行审核，查看本教材有多少章，用相应的号码球对应不同的章，由考生随机抽取第几章；第二步，工作人员查看考生抽取的章含多少节，用相应的号码球对应不同的节，由考生随机抽取相应的节；第三步，工作人员将考生随机抽取的章节内容作为备课和试讲内容，登记在备课纸上，考生签名确认。</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2.备课。考生根据抽取的备课内容，进行教学设计。时间20分钟。报考专业课教师应按理论课或理实一体化课的要求，进行教学设计。报考实习指导教师应按实验实训课的要求，进行教学设计。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3.专业概述。考生针对拟任教专业进行专业概述。时间5分钟。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4.试讲（演示）。考生按照准备的教学方案进行试讲（或演示）。时间10分钟。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5.答辩。考官进行提问，考生答辩。时间5分钟。 </w:t>
      </w:r>
    </w:p>
    <w:p>
      <w:pPr>
        <w:adjustRightInd w:val="0"/>
        <w:snapToGrid w:val="0"/>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6.评分。考官根据考生面试过程中的表现，进行综合性评分。</w:t>
      </w:r>
    </w:p>
    <w:p>
      <w:pPr>
        <w:adjustRightInd w:val="0"/>
        <w:snapToGrid w:val="0"/>
        <w:spacing w:line="600" w:lineRule="exact"/>
        <w:ind w:firstLine="640" w:firstLineChars="200"/>
        <w:rPr>
          <w:rFonts w:ascii="黑体" w:hAnsi="黑体" w:eastAsia="黑体"/>
          <w:sz w:val="32"/>
          <w:szCs w:val="32"/>
        </w:rPr>
      </w:pPr>
      <w:r>
        <w:rPr>
          <w:rFonts w:hint="eastAsia" w:ascii="黑体" w:hAnsi="黑体" w:eastAsia="黑体"/>
          <w:sz w:val="32"/>
          <w:szCs w:val="32"/>
        </w:rPr>
        <w:t>五、评分标准</w:t>
      </w:r>
    </w:p>
    <w:tbl>
      <w:tblPr>
        <w:tblStyle w:val="5"/>
        <w:tblW w:w="8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7"/>
        <w:gridCol w:w="1127"/>
        <w:gridCol w:w="1551"/>
        <w:gridCol w:w="985"/>
        <w:gridCol w:w="3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27" w:type="dxa"/>
            <w:vAlign w:val="center"/>
          </w:tcPr>
          <w:p>
            <w:pPr>
              <w:adjustRightInd w:val="0"/>
              <w:snapToGrid w:val="0"/>
              <w:jc w:val="center"/>
              <w:rPr>
                <w:rFonts w:ascii="仿宋_GB2312" w:hAnsi="仿宋" w:eastAsia="仿宋_GB2312" w:cs="Times New Roman"/>
                <w:b/>
                <w:kern w:val="0"/>
                <w:sz w:val="24"/>
                <w:szCs w:val="24"/>
              </w:rPr>
            </w:pPr>
            <w:r>
              <w:rPr>
                <w:rFonts w:hint="eastAsia" w:ascii="仿宋_GB2312" w:hAnsi="仿宋" w:eastAsia="仿宋_GB2312" w:cs="Times New Roman"/>
                <w:b/>
                <w:kern w:val="0"/>
                <w:sz w:val="24"/>
                <w:szCs w:val="24"/>
              </w:rPr>
              <w:t>序号</w:t>
            </w:r>
          </w:p>
        </w:tc>
        <w:tc>
          <w:tcPr>
            <w:tcW w:w="1127" w:type="dxa"/>
            <w:vAlign w:val="center"/>
          </w:tcPr>
          <w:p>
            <w:pPr>
              <w:adjustRightInd w:val="0"/>
              <w:snapToGrid w:val="0"/>
              <w:jc w:val="center"/>
              <w:rPr>
                <w:rFonts w:ascii="仿宋_GB2312" w:hAnsi="仿宋" w:eastAsia="仿宋_GB2312" w:cs="Times New Roman"/>
                <w:b/>
                <w:kern w:val="0"/>
                <w:sz w:val="24"/>
                <w:szCs w:val="24"/>
              </w:rPr>
            </w:pPr>
            <w:r>
              <w:rPr>
                <w:rFonts w:hint="eastAsia" w:ascii="仿宋_GB2312" w:hAnsi="仿宋" w:eastAsia="仿宋_GB2312" w:cs="Times New Roman"/>
                <w:b/>
                <w:kern w:val="0"/>
                <w:sz w:val="24"/>
                <w:szCs w:val="24"/>
              </w:rPr>
              <w:t>测试</w:t>
            </w:r>
          </w:p>
          <w:p>
            <w:pPr>
              <w:adjustRightInd w:val="0"/>
              <w:snapToGrid w:val="0"/>
              <w:jc w:val="center"/>
              <w:rPr>
                <w:rFonts w:ascii="仿宋_GB2312" w:hAnsi="仿宋" w:eastAsia="仿宋_GB2312" w:cs="Times New Roman"/>
                <w:b/>
                <w:kern w:val="0"/>
                <w:sz w:val="24"/>
                <w:szCs w:val="24"/>
              </w:rPr>
            </w:pPr>
            <w:r>
              <w:rPr>
                <w:rFonts w:hint="eastAsia" w:ascii="仿宋_GB2312" w:hAnsi="仿宋" w:eastAsia="仿宋_GB2312" w:cs="Times New Roman"/>
                <w:b/>
                <w:kern w:val="0"/>
                <w:sz w:val="24"/>
                <w:szCs w:val="24"/>
              </w:rPr>
              <w:t>项目</w:t>
            </w:r>
          </w:p>
        </w:tc>
        <w:tc>
          <w:tcPr>
            <w:tcW w:w="1551" w:type="dxa"/>
            <w:vAlign w:val="center"/>
          </w:tcPr>
          <w:p>
            <w:pPr>
              <w:adjustRightInd w:val="0"/>
              <w:snapToGrid w:val="0"/>
              <w:ind w:firstLine="241" w:firstLineChars="100"/>
              <w:jc w:val="center"/>
              <w:rPr>
                <w:rFonts w:ascii="仿宋_GB2312" w:hAnsi="仿宋" w:eastAsia="仿宋_GB2312" w:cs="Times New Roman"/>
                <w:b/>
                <w:kern w:val="0"/>
                <w:sz w:val="24"/>
                <w:szCs w:val="24"/>
              </w:rPr>
            </w:pPr>
            <w:r>
              <w:rPr>
                <w:rFonts w:hint="eastAsia" w:ascii="仿宋_GB2312" w:hAnsi="仿宋" w:eastAsia="仿宋_GB2312" w:cs="Times New Roman"/>
                <w:b/>
                <w:kern w:val="0"/>
                <w:sz w:val="24"/>
                <w:szCs w:val="24"/>
              </w:rPr>
              <w:t>权重</w:t>
            </w:r>
          </w:p>
        </w:tc>
        <w:tc>
          <w:tcPr>
            <w:tcW w:w="985" w:type="dxa"/>
            <w:vAlign w:val="center"/>
          </w:tcPr>
          <w:p>
            <w:pPr>
              <w:adjustRightInd w:val="0"/>
              <w:snapToGrid w:val="0"/>
              <w:jc w:val="center"/>
              <w:rPr>
                <w:rFonts w:ascii="仿宋_GB2312" w:hAnsi="仿宋" w:eastAsia="仿宋_GB2312" w:cs="Times New Roman"/>
                <w:b/>
                <w:kern w:val="0"/>
                <w:sz w:val="24"/>
                <w:szCs w:val="24"/>
              </w:rPr>
            </w:pPr>
            <w:r>
              <w:rPr>
                <w:rFonts w:hint="eastAsia" w:ascii="仿宋_GB2312" w:hAnsi="仿宋" w:eastAsia="仿宋_GB2312" w:cs="Times New Roman"/>
                <w:b/>
                <w:kern w:val="0"/>
                <w:sz w:val="24"/>
                <w:szCs w:val="24"/>
              </w:rPr>
              <w:t>分值</w:t>
            </w:r>
          </w:p>
        </w:tc>
        <w:tc>
          <w:tcPr>
            <w:tcW w:w="3574" w:type="dxa"/>
            <w:vAlign w:val="center"/>
          </w:tcPr>
          <w:p>
            <w:pPr>
              <w:adjustRightInd w:val="0"/>
              <w:snapToGrid w:val="0"/>
              <w:jc w:val="center"/>
              <w:rPr>
                <w:rFonts w:ascii="仿宋_GB2312" w:hAnsi="仿宋" w:eastAsia="仿宋_GB2312" w:cs="Times New Roman"/>
                <w:b/>
                <w:kern w:val="0"/>
                <w:sz w:val="24"/>
                <w:szCs w:val="24"/>
              </w:rPr>
            </w:pPr>
            <w:r>
              <w:rPr>
                <w:rFonts w:hint="eastAsia" w:ascii="仿宋_GB2312" w:hAnsi="仿宋" w:eastAsia="仿宋_GB2312" w:cs="Times New Roman"/>
                <w:b/>
                <w:kern w:val="0"/>
                <w:sz w:val="24"/>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27" w:type="dxa"/>
            <w:vMerge w:val="restart"/>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一</w:t>
            </w:r>
          </w:p>
        </w:tc>
        <w:tc>
          <w:tcPr>
            <w:tcW w:w="1127" w:type="dxa"/>
            <w:vMerge w:val="restart"/>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职业认知</w:t>
            </w:r>
          </w:p>
        </w:tc>
        <w:tc>
          <w:tcPr>
            <w:tcW w:w="1551" w:type="dxa"/>
            <w:vMerge w:val="restart"/>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5</w:t>
            </w:r>
          </w:p>
        </w:tc>
        <w:tc>
          <w:tcPr>
            <w:tcW w:w="985" w:type="dxa"/>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3</w:t>
            </w:r>
          </w:p>
        </w:tc>
        <w:tc>
          <w:tcPr>
            <w:tcW w:w="3574" w:type="dxa"/>
          </w:tcPr>
          <w:p>
            <w:pPr>
              <w:adjustRightInd w:val="0"/>
              <w:snapToGrid w:val="0"/>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热爱教育事业，有较强的重教愿望，能正确认识、理解中等职业教育专业课教师和实习指导教师的职业特征，遵守教师职业道德规范。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27" w:type="dxa"/>
            <w:vMerge w:val="continue"/>
            <w:vAlign w:val="center"/>
          </w:tcPr>
          <w:p>
            <w:pPr>
              <w:adjustRightInd w:val="0"/>
              <w:snapToGrid w:val="0"/>
              <w:jc w:val="center"/>
              <w:rPr>
                <w:rFonts w:ascii="仿宋_GB2312" w:hAnsi="仿宋" w:eastAsia="仿宋_GB2312" w:cs="Times New Roman"/>
                <w:kern w:val="0"/>
                <w:sz w:val="24"/>
                <w:szCs w:val="24"/>
              </w:rPr>
            </w:pPr>
          </w:p>
        </w:tc>
        <w:tc>
          <w:tcPr>
            <w:tcW w:w="1127" w:type="dxa"/>
            <w:vMerge w:val="continue"/>
            <w:vAlign w:val="center"/>
          </w:tcPr>
          <w:p>
            <w:pPr>
              <w:adjustRightInd w:val="0"/>
              <w:snapToGrid w:val="0"/>
              <w:jc w:val="center"/>
              <w:rPr>
                <w:rFonts w:ascii="仿宋_GB2312" w:hAnsi="仿宋" w:eastAsia="仿宋_GB2312" w:cs="Times New Roman"/>
                <w:kern w:val="0"/>
                <w:sz w:val="24"/>
                <w:szCs w:val="24"/>
              </w:rPr>
            </w:pPr>
          </w:p>
        </w:tc>
        <w:tc>
          <w:tcPr>
            <w:tcW w:w="1551" w:type="dxa"/>
            <w:vMerge w:val="continue"/>
            <w:vAlign w:val="center"/>
          </w:tcPr>
          <w:p>
            <w:pPr>
              <w:adjustRightInd w:val="0"/>
              <w:snapToGrid w:val="0"/>
              <w:jc w:val="center"/>
              <w:rPr>
                <w:rFonts w:ascii="仿宋_GB2312" w:hAnsi="仿宋" w:eastAsia="仿宋_GB2312" w:cs="Times New Roman"/>
                <w:kern w:val="0"/>
                <w:sz w:val="24"/>
                <w:szCs w:val="24"/>
              </w:rPr>
            </w:pPr>
          </w:p>
        </w:tc>
        <w:tc>
          <w:tcPr>
            <w:tcW w:w="985" w:type="dxa"/>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2</w:t>
            </w:r>
          </w:p>
        </w:tc>
        <w:tc>
          <w:tcPr>
            <w:tcW w:w="3574" w:type="dxa"/>
          </w:tcPr>
          <w:p>
            <w:pPr>
              <w:adjustRightInd w:val="0"/>
              <w:snapToGrid w:val="0"/>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关爱学生、尊重学生、公正平等对待学生、关注每个学生的成长。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27" w:type="dxa"/>
            <w:vMerge w:val="restart"/>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二</w:t>
            </w:r>
          </w:p>
        </w:tc>
        <w:tc>
          <w:tcPr>
            <w:tcW w:w="1127" w:type="dxa"/>
            <w:vMerge w:val="restart"/>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心理素质</w:t>
            </w:r>
          </w:p>
        </w:tc>
        <w:tc>
          <w:tcPr>
            <w:tcW w:w="1551" w:type="dxa"/>
            <w:vMerge w:val="restart"/>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5</w:t>
            </w:r>
          </w:p>
        </w:tc>
        <w:tc>
          <w:tcPr>
            <w:tcW w:w="985" w:type="dxa"/>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3</w:t>
            </w:r>
          </w:p>
        </w:tc>
        <w:tc>
          <w:tcPr>
            <w:tcW w:w="3574" w:type="dxa"/>
          </w:tcPr>
          <w:p>
            <w:pPr>
              <w:adjustRightInd w:val="0"/>
              <w:snapToGrid w:val="0"/>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积极、开朗、有自信心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27" w:type="dxa"/>
            <w:vMerge w:val="continue"/>
            <w:vAlign w:val="center"/>
          </w:tcPr>
          <w:p>
            <w:pPr>
              <w:adjustRightInd w:val="0"/>
              <w:snapToGrid w:val="0"/>
              <w:jc w:val="center"/>
              <w:rPr>
                <w:rFonts w:ascii="仿宋_GB2312" w:hAnsi="仿宋" w:eastAsia="仿宋_GB2312" w:cs="Times New Roman"/>
                <w:kern w:val="0"/>
                <w:sz w:val="24"/>
                <w:szCs w:val="24"/>
              </w:rPr>
            </w:pPr>
          </w:p>
        </w:tc>
        <w:tc>
          <w:tcPr>
            <w:tcW w:w="1127" w:type="dxa"/>
            <w:vMerge w:val="continue"/>
            <w:vAlign w:val="center"/>
          </w:tcPr>
          <w:p>
            <w:pPr>
              <w:adjustRightInd w:val="0"/>
              <w:snapToGrid w:val="0"/>
              <w:jc w:val="center"/>
              <w:rPr>
                <w:rFonts w:ascii="仿宋_GB2312" w:hAnsi="仿宋" w:eastAsia="仿宋_GB2312" w:cs="Times New Roman"/>
                <w:kern w:val="0"/>
                <w:sz w:val="24"/>
                <w:szCs w:val="24"/>
              </w:rPr>
            </w:pPr>
          </w:p>
        </w:tc>
        <w:tc>
          <w:tcPr>
            <w:tcW w:w="1551" w:type="dxa"/>
            <w:vMerge w:val="continue"/>
            <w:vAlign w:val="center"/>
          </w:tcPr>
          <w:p>
            <w:pPr>
              <w:adjustRightInd w:val="0"/>
              <w:snapToGrid w:val="0"/>
              <w:jc w:val="center"/>
              <w:rPr>
                <w:rFonts w:ascii="仿宋_GB2312" w:hAnsi="仿宋" w:eastAsia="仿宋_GB2312" w:cs="Times New Roman"/>
                <w:kern w:val="0"/>
                <w:sz w:val="24"/>
                <w:szCs w:val="24"/>
              </w:rPr>
            </w:pPr>
          </w:p>
        </w:tc>
        <w:tc>
          <w:tcPr>
            <w:tcW w:w="985" w:type="dxa"/>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2</w:t>
            </w:r>
          </w:p>
        </w:tc>
        <w:tc>
          <w:tcPr>
            <w:tcW w:w="3574" w:type="dxa"/>
          </w:tcPr>
          <w:p>
            <w:pPr>
              <w:adjustRightInd w:val="0"/>
              <w:snapToGrid w:val="0"/>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有较强的情绪调节与自控能力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27" w:type="dxa"/>
            <w:vMerge w:val="restart"/>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三</w:t>
            </w:r>
          </w:p>
        </w:tc>
        <w:tc>
          <w:tcPr>
            <w:tcW w:w="1127" w:type="dxa"/>
            <w:vMerge w:val="restart"/>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仪表仪态</w:t>
            </w:r>
          </w:p>
        </w:tc>
        <w:tc>
          <w:tcPr>
            <w:tcW w:w="1551" w:type="dxa"/>
            <w:vMerge w:val="restart"/>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5</w:t>
            </w:r>
          </w:p>
        </w:tc>
        <w:tc>
          <w:tcPr>
            <w:tcW w:w="985" w:type="dxa"/>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2</w:t>
            </w:r>
          </w:p>
        </w:tc>
        <w:tc>
          <w:tcPr>
            <w:tcW w:w="3574" w:type="dxa"/>
          </w:tcPr>
          <w:p>
            <w:pPr>
              <w:adjustRightInd w:val="0"/>
              <w:snapToGrid w:val="0"/>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衣着整洁，仪表得体，符合中等职业教育专业课教师和实习指导教师职业特点。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27" w:type="dxa"/>
            <w:vMerge w:val="continue"/>
            <w:vAlign w:val="center"/>
          </w:tcPr>
          <w:p>
            <w:pPr>
              <w:adjustRightInd w:val="0"/>
              <w:snapToGrid w:val="0"/>
              <w:jc w:val="center"/>
              <w:rPr>
                <w:rFonts w:ascii="仿宋_GB2312" w:hAnsi="仿宋" w:eastAsia="仿宋_GB2312" w:cs="Times New Roman"/>
                <w:kern w:val="0"/>
                <w:sz w:val="24"/>
                <w:szCs w:val="24"/>
              </w:rPr>
            </w:pPr>
          </w:p>
        </w:tc>
        <w:tc>
          <w:tcPr>
            <w:tcW w:w="1127" w:type="dxa"/>
            <w:vMerge w:val="continue"/>
            <w:vAlign w:val="center"/>
          </w:tcPr>
          <w:p>
            <w:pPr>
              <w:adjustRightInd w:val="0"/>
              <w:snapToGrid w:val="0"/>
              <w:jc w:val="center"/>
              <w:rPr>
                <w:rFonts w:ascii="仿宋_GB2312" w:hAnsi="仿宋" w:eastAsia="仿宋_GB2312" w:cs="Times New Roman"/>
                <w:kern w:val="0"/>
                <w:sz w:val="24"/>
                <w:szCs w:val="24"/>
              </w:rPr>
            </w:pPr>
          </w:p>
        </w:tc>
        <w:tc>
          <w:tcPr>
            <w:tcW w:w="1551" w:type="dxa"/>
            <w:vMerge w:val="continue"/>
            <w:vAlign w:val="center"/>
          </w:tcPr>
          <w:p>
            <w:pPr>
              <w:adjustRightInd w:val="0"/>
              <w:snapToGrid w:val="0"/>
              <w:jc w:val="center"/>
              <w:rPr>
                <w:rFonts w:ascii="仿宋_GB2312" w:hAnsi="仿宋" w:eastAsia="仿宋_GB2312" w:cs="Times New Roman"/>
                <w:kern w:val="0"/>
                <w:sz w:val="24"/>
                <w:szCs w:val="24"/>
              </w:rPr>
            </w:pPr>
          </w:p>
        </w:tc>
        <w:tc>
          <w:tcPr>
            <w:tcW w:w="985" w:type="dxa"/>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3</w:t>
            </w:r>
          </w:p>
        </w:tc>
        <w:tc>
          <w:tcPr>
            <w:tcW w:w="3574" w:type="dxa"/>
          </w:tcPr>
          <w:p>
            <w:pPr>
              <w:adjustRightInd w:val="0"/>
              <w:snapToGrid w:val="0"/>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行为举止稳重端庄大方，教态自然，肢体表达得当。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27" w:type="dxa"/>
            <w:vMerge w:val="restart"/>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四</w:t>
            </w:r>
          </w:p>
        </w:tc>
        <w:tc>
          <w:tcPr>
            <w:tcW w:w="1127" w:type="dxa"/>
            <w:vMerge w:val="restart"/>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言语表达</w:t>
            </w:r>
          </w:p>
        </w:tc>
        <w:tc>
          <w:tcPr>
            <w:tcW w:w="1551" w:type="dxa"/>
            <w:vMerge w:val="restart"/>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10</w:t>
            </w:r>
          </w:p>
        </w:tc>
        <w:tc>
          <w:tcPr>
            <w:tcW w:w="985" w:type="dxa"/>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5</w:t>
            </w:r>
          </w:p>
        </w:tc>
        <w:tc>
          <w:tcPr>
            <w:tcW w:w="3574" w:type="dxa"/>
          </w:tcPr>
          <w:p>
            <w:pPr>
              <w:adjustRightInd w:val="0"/>
              <w:snapToGrid w:val="0"/>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语言清晰，表达准确，语速适宜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27" w:type="dxa"/>
            <w:vMerge w:val="continue"/>
            <w:vAlign w:val="center"/>
          </w:tcPr>
          <w:p>
            <w:pPr>
              <w:adjustRightInd w:val="0"/>
              <w:snapToGrid w:val="0"/>
              <w:jc w:val="center"/>
              <w:rPr>
                <w:rFonts w:ascii="仿宋_GB2312" w:hAnsi="仿宋" w:eastAsia="仿宋_GB2312" w:cs="Times New Roman"/>
                <w:kern w:val="0"/>
                <w:sz w:val="24"/>
                <w:szCs w:val="24"/>
              </w:rPr>
            </w:pPr>
          </w:p>
        </w:tc>
        <w:tc>
          <w:tcPr>
            <w:tcW w:w="1127" w:type="dxa"/>
            <w:vMerge w:val="continue"/>
            <w:vAlign w:val="center"/>
          </w:tcPr>
          <w:p>
            <w:pPr>
              <w:adjustRightInd w:val="0"/>
              <w:snapToGrid w:val="0"/>
              <w:jc w:val="center"/>
              <w:rPr>
                <w:rFonts w:ascii="仿宋_GB2312" w:hAnsi="仿宋" w:eastAsia="仿宋_GB2312" w:cs="Times New Roman"/>
                <w:kern w:val="0"/>
                <w:sz w:val="24"/>
                <w:szCs w:val="24"/>
              </w:rPr>
            </w:pPr>
          </w:p>
        </w:tc>
        <w:tc>
          <w:tcPr>
            <w:tcW w:w="1551" w:type="dxa"/>
            <w:vMerge w:val="continue"/>
            <w:vAlign w:val="center"/>
          </w:tcPr>
          <w:p>
            <w:pPr>
              <w:adjustRightInd w:val="0"/>
              <w:snapToGrid w:val="0"/>
              <w:jc w:val="center"/>
              <w:rPr>
                <w:rFonts w:ascii="仿宋_GB2312" w:hAnsi="仿宋" w:eastAsia="仿宋_GB2312" w:cs="Times New Roman"/>
                <w:kern w:val="0"/>
                <w:sz w:val="24"/>
                <w:szCs w:val="24"/>
              </w:rPr>
            </w:pPr>
          </w:p>
        </w:tc>
        <w:tc>
          <w:tcPr>
            <w:tcW w:w="985" w:type="dxa"/>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5</w:t>
            </w:r>
          </w:p>
        </w:tc>
        <w:tc>
          <w:tcPr>
            <w:tcW w:w="3574" w:type="dxa"/>
          </w:tcPr>
          <w:p>
            <w:pPr>
              <w:adjustRightInd w:val="0"/>
              <w:snapToGrid w:val="0"/>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善于倾听、交流，有亲和力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27" w:type="dxa"/>
            <w:vMerge w:val="restart"/>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五</w:t>
            </w:r>
          </w:p>
        </w:tc>
        <w:tc>
          <w:tcPr>
            <w:tcW w:w="1127" w:type="dxa"/>
            <w:vMerge w:val="restart"/>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思维品质</w:t>
            </w:r>
          </w:p>
        </w:tc>
        <w:tc>
          <w:tcPr>
            <w:tcW w:w="1551" w:type="dxa"/>
            <w:vMerge w:val="restart"/>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10</w:t>
            </w:r>
          </w:p>
        </w:tc>
        <w:tc>
          <w:tcPr>
            <w:tcW w:w="985" w:type="dxa"/>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4</w:t>
            </w:r>
          </w:p>
        </w:tc>
        <w:tc>
          <w:tcPr>
            <w:tcW w:w="3574" w:type="dxa"/>
          </w:tcPr>
          <w:p>
            <w:pPr>
              <w:adjustRightInd w:val="0"/>
              <w:snapToGrid w:val="0"/>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思维缜密、灵活，富有条理，看待问题全面。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27" w:type="dxa"/>
            <w:vMerge w:val="continue"/>
            <w:vAlign w:val="center"/>
          </w:tcPr>
          <w:p>
            <w:pPr>
              <w:adjustRightInd w:val="0"/>
              <w:snapToGrid w:val="0"/>
              <w:jc w:val="center"/>
              <w:rPr>
                <w:rFonts w:ascii="仿宋_GB2312" w:hAnsi="仿宋" w:eastAsia="仿宋_GB2312" w:cs="Times New Roman"/>
                <w:kern w:val="0"/>
                <w:sz w:val="24"/>
                <w:szCs w:val="24"/>
              </w:rPr>
            </w:pPr>
          </w:p>
        </w:tc>
        <w:tc>
          <w:tcPr>
            <w:tcW w:w="1127" w:type="dxa"/>
            <w:vMerge w:val="continue"/>
            <w:vAlign w:val="center"/>
          </w:tcPr>
          <w:p>
            <w:pPr>
              <w:adjustRightInd w:val="0"/>
              <w:snapToGrid w:val="0"/>
              <w:jc w:val="center"/>
              <w:rPr>
                <w:rFonts w:ascii="仿宋_GB2312" w:hAnsi="仿宋" w:eastAsia="仿宋_GB2312" w:cs="Times New Roman"/>
                <w:kern w:val="0"/>
                <w:sz w:val="24"/>
                <w:szCs w:val="24"/>
              </w:rPr>
            </w:pPr>
          </w:p>
        </w:tc>
        <w:tc>
          <w:tcPr>
            <w:tcW w:w="1551" w:type="dxa"/>
            <w:vMerge w:val="continue"/>
            <w:vAlign w:val="center"/>
          </w:tcPr>
          <w:p>
            <w:pPr>
              <w:adjustRightInd w:val="0"/>
              <w:snapToGrid w:val="0"/>
              <w:jc w:val="center"/>
              <w:rPr>
                <w:rFonts w:ascii="仿宋_GB2312" w:hAnsi="仿宋" w:eastAsia="仿宋_GB2312" w:cs="Times New Roman"/>
                <w:kern w:val="0"/>
                <w:sz w:val="24"/>
                <w:szCs w:val="24"/>
              </w:rPr>
            </w:pPr>
          </w:p>
        </w:tc>
        <w:tc>
          <w:tcPr>
            <w:tcW w:w="985" w:type="dxa"/>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3</w:t>
            </w:r>
          </w:p>
        </w:tc>
        <w:tc>
          <w:tcPr>
            <w:tcW w:w="3574" w:type="dxa"/>
          </w:tcPr>
          <w:p>
            <w:pPr>
              <w:adjustRightInd w:val="0"/>
              <w:snapToGrid w:val="0"/>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迅速地抓住核心要素、准确地理解和分析问题。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27" w:type="dxa"/>
            <w:vMerge w:val="continue"/>
            <w:vAlign w:val="center"/>
          </w:tcPr>
          <w:p>
            <w:pPr>
              <w:adjustRightInd w:val="0"/>
              <w:snapToGrid w:val="0"/>
              <w:jc w:val="center"/>
              <w:rPr>
                <w:rFonts w:ascii="仿宋_GB2312" w:hAnsi="仿宋" w:eastAsia="仿宋_GB2312" w:cs="Times New Roman"/>
                <w:kern w:val="0"/>
                <w:sz w:val="24"/>
                <w:szCs w:val="24"/>
              </w:rPr>
            </w:pPr>
          </w:p>
        </w:tc>
        <w:tc>
          <w:tcPr>
            <w:tcW w:w="1127" w:type="dxa"/>
            <w:vMerge w:val="continue"/>
            <w:vAlign w:val="center"/>
          </w:tcPr>
          <w:p>
            <w:pPr>
              <w:adjustRightInd w:val="0"/>
              <w:snapToGrid w:val="0"/>
              <w:jc w:val="center"/>
              <w:rPr>
                <w:rFonts w:ascii="仿宋_GB2312" w:hAnsi="仿宋" w:eastAsia="仿宋_GB2312" w:cs="Times New Roman"/>
                <w:kern w:val="0"/>
                <w:sz w:val="24"/>
                <w:szCs w:val="24"/>
              </w:rPr>
            </w:pPr>
          </w:p>
        </w:tc>
        <w:tc>
          <w:tcPr>
            <w:tcW w:w="1551" w:type="dxa"/>
            <w:vMerge w:val="continue"/>
            <w:vAlign w:val="center"/>
          </w:tcPr>
          <w:p>
            <w:pPr>
              <w:adjustRightInd w:val="0"/>
              <w:snapToGrid w:val="0"/>
              <w:jc w:val="center"/>
              <w:rPr>
                <w:rFonts w:ascii="仿宋_GB2312" w:hAnsi="仿宋" w:eastAsia="仿宋_GB2312" w:cs="Times New Roman"/>
                <w:kern w:val="0"/>
                <w:sz w:val="24"/>
                <w:szCs w:val="24"/>
              </w:rPr>
            </w:pPr>
          </w:p>
        </w:tc>
        <w:tc>
          <w:tcPr>
            <w:tcW w:w="985" w:type="dxa"/>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3</w:t>
            </w:r>
          </w:p>
        </w:tc>
        <w:tc>
          <w:tcPr>
            <w:tcW w:w="3574" w:type="dxa"/>
          </w:tcPr>
          <w:p>
            <w:pPr>
              <w:adjustRightInd w:val="0"/>
              <w:snapToGrid w:val="0"/>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具有创新性的解决问题的思路和方法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27" w:type="dxa"/>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六</w:t>
            </w:r>
          </w:p>
        </w:tc>
        <w:tc>
          <w:tcPr>
            <w:tcW w:w="1127" w:type="dxa"/>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教学设计</w:t>
            </w:r>
          </w:p>
        </w:tc>
        <w:tc>
          <w:tcPr>
            <w:tcW w:w="1551" w:type="dxa"/>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30</w:t>
            </w:r>
          </w:p>
        </w:tc>
        <w:tc>
          <w:tcPr>
            <w:tcW w:w="985" w:type="dxa"/>
            <w:vAlign w:val="center"/>
          </w:tcPr>
          <w:p>
            <w:pPr>
              <w:adjustRightInd w:val="0"/>
              <w:snapToGrid w:val="0"/>
              <w:jc w:val="center"/>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10</w:t>
            </w:r>
          </w:p>
        </w:tc>
        <w:tc>
          <w:tcPr>
            <w:tcW w:w="3574" w:type="dxa"/>
          </w:tcPr>
          <w:p>
            <w:pPr>
              <w:adjustRightInd w:val="0"/>
              <w:snapToGrid w:val="0"/>
              <w:rPr>
                <w:rFonts w:ascii="仿宋_GB2312" w:hAnsi="仿宋" w:eastAsia="仿宋_GB2312" w:cs="Times New Roman"/>
                <w:kern w:val="0"/>
                <w:sz w:val="24"/>
                <w:szCs w:val="24"/>
              </w:rPr>
            </w:pPr>
            <w:r>
              <w:rPr>
                <w:rFonts w:hint="eastAsia" w:ascii="仿宋_GB2312" w:hAnsi="仿宋" w:eastAsia="仿宋_GB2312" w:cs="Times New Roman"/>
                <w:kern w:val="0"/>
                <w:sz w:val="24"/>
                <w:szCs w:val="24"/>
              </w:rPr>
              <w:t>能体现所任专业对应行业的产业和技术发展的现状和趋势，了解教学课程在专业人才培养中的地位、作用。</w:t>
            </w:r>
          </w:p>
        </w:tc>
      </w:tr>
    </w:tbl>
    <w:p/>
    <w:sectPr>
      <w:pgSz w:w="11906" w:h="16838"/>
      <w:pgMar w:top="1383" w:right="1689" w:bottom="1383"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altName w:val="微软雅黑"/>
    <w:panose1 w:val="03000509000000000000"/>
    <w:charset w:val="86"/>
    <w:family w:val="auto"/>
    <w:pitch w:val="default"/>
    <w:sig w:usb0="00000000" w:usb1="0000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D33"/>
    <w:rsid w:val="000B1DDD"/>
    <w:rsid w:val="001D6529"/>
    <w:rsid w:val="003C04A0"/>
    <w:rsid w:val="00651208"/>
    <w:rsid w:val="00A97D33"/>
    <w:rsid w:val="00B02E0D"/>
    <w:rsid w:val="00B25A13"/>
    <w:rsid w:val="00F25FBF"/>
    <w:rsid w:val="00FA320F"/>
    <w:rsid w:val="353A7950"/>
    <w:rsid w:val="7B9519C6"/>
    <w:rsid w:val="FEEEF9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348</Words>
  <Characters>1986</Characters>
  <Lines>16</Lines>
  <Paragraphs>4</Paragraphs>
  <TotalTime>5</TotalTime>
  <ScaleCrop>false</ScaleCrop>
  <LinksUpToDate>false</LinksUpToDate>
  <CharactersWithSpaces>2330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2019-11-22T11:23:00Z</dcterms:created>
  <dc:creator>user</dc:creator>
  <cp:lastModifiedBy>Ying</cp:lastModifiedBy>
  <dcterms:modified xsi:type="dcterms:W3CDTF">2024-04-08T03:41:26Z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910CD6CF6A6642D5B0ABBDA7C9293C88_13</vt:lpwstr>
  </property>
</Properties>
</file>